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C941" w14:textId="77777777" w:rsidR="00A547FD" w:rsidRPr="00933EF5" w:rsidRDefault="00A547FD" w:rsidP="00A547FD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lang w:val="es-CL"/>
        </w:rPr>
      </w:pPr>
      <w:r w:rsidRPr="418876C6">
        <w:rPr>
          <w:rFonts w:ascii="Courier New" w:eastAsiaTheme="majorEastAsia" w:hAnsi="Courier New" w:cs="Courier New"/>
          <w:b/>
          <w:bCs/>
          <w:lang w:val="es-CL"/>
        </w:rPr>
        <w:t>Anexo 2:</w:t>
      </w:r>
      <w:r w:rsidRPr="418876C6">
        <w:rPr>
          <w:rFonts w:ascii="Courier New" w:eastAsiaTheme="majorEastAsia" w:hAnsi="Courier New" w:cs="Courier New"/>
          <w:lang w:val="es-CL"/>
        </w:rPr>
        <w:t xml:space="preserve"> Declaración jurada de tercero independiente.</w:t>
      </w:r>
    </w:p>
    <w:p w14:paraId="4ADDBFBE" w14:textId="77777777" w:rsidR="00A547FD" w:rsidRPr="00933EF5" w:rsidRDefault="00A547FD" w:rsidP="00A547F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3811C30D" w14:textId="77777777" w:rsidR="00A547FD" w:rsidRDefault="00A547FD" w:rsidP="00A547FD">
      <w:pPr>
        <w:spacing w:line="276" w:lineRule="auto"/>
        <w:jc w:val="both"/>
        <w:rPr>
          <w:rFonts w:ascii="Courier New" w:hAnsi="Courier New" w:cs="Courier New"/>
          <w:bCs/>
        </w:rPr>
      </w:pPr>
      <w:r w:rsidRPr="004A216B">
        <w:rPr>
          <w:rFonts w:ascii="Courier New" w:hAnsi="Courier New" w:cs="Courier New"/>
          <w:bCs/>
        </w:rPr>
        <w:t>Con fecha [</w:t>
      </w:r>
      <w:proofErr w:type="spellStart"/>
      <w:r w:rsidRPr="004A216B">
        <w:rPr>
          <w:rFonts w:ascii="Courier New" w:hAnsi="Courier New" w:cs="Courier New"/>
          <w:bCs/>
        </w:rPr>
        <w:t>dd</w:t>
      </w:r>
      <w:proofErr w:type="spellEnd"/>
      <w:r w:rsidRPr="004A216B">
        <w:rPr>
          <w:rFonts w:ascii="Courier New" w:hAnsi="Courier New" w:cs="Courier New"/>
          <w:bCs/>
        </w:rPr>
        <w:t>/mm/</w:t>
      </w:r>
      <w:proofErr w:type="spellStart"/>
      <w:r w:rsidRPr="004A216B">
        <w:rPr>
          <w:rFonts w:ascii="Courier New" w:hAnsi="Courier New" w:cs="Courier New"/>
          <w:bCs/>
        </w:rPr>
        <w:t>aaaa</w:t>
      </w:r>
      <w:proofErr w:type="spellEnd"/>
      <w:r w:rsidRPr="004A216B">
        <w:rPr>
          <w:rFonts w:ascii="Courier New" w:hAnsi="Courier New" w:cs="Courier New"/>
          <w:bCs/>
        </w:rPr>
        <w:t xml:space="preserve">], el/la abajo firmante, Sr./Sra. [Nombre representante legal], RUT [RUT persona natural], en su calidad de representante legal de [Razón social organización], RUT [RUT persona jurídica], declara que los procesos de verificación en el marco del Programa HuellaChile y del futuro Sistema de Certificación Voluntaria de GEI y Uso de Agua, conforme al </w:t>
      </w:r>
      <w:r>
        <w:rPr>
          <w:rFonts w:ascii="Courier New" w:hAnsi="Courier New" w:cs="Courier New"/>
          <w:bCs/>
        </w:rPr>
        <w:t>a</w:t>
      </w:r>
      <w:r w:rsidRPr="004A216B">
        <w:rPr>
          <w:rFonts w:ascii="Courier New" w:hAnsi="Courier New" w:cs="Courier New"/>
          <w:bCs/>
        </w:rPr>
        <w:t xml:space="preserve">rtículo 30 de la Ley </w:t>
      </w:r>
      <w:proofErr w:type="spellStart"/>
      <w:r w:rsidRPr="004A216B">
        <w:rPr>
          <w:rFonts w:ascii="Courier New" w:hAnsi="Courier New" w:cs="Courier New"/>
          <w:bCs/>
        </w:rPr>
        <w:t>N°</w:t>
      </w:r>
      <w:proofErr w:type="spellEnd"/>
      <w:r>
        <w:rPr>
          <w:rFonts w:ascii="Courier New" w:hAnsi="Courier New" w:cs="Courier New"/>
          <w:bCs/>
        </w:rPr>
        <w:t xml:space="preserve"> </w:t>
      </w:r>
      <w:r w:rsidRPr="004A216B">
        <w:rPr>
          <w:rFonts w:ascii="Courier New" w:hAnsi="Courier New" w:cs="Courier New"/>
          <w:bCs/>
        </w:rPr>
        <w:t>21.455 (Ley Marco de Cambio Climático), se desarrollarán con objetividad e imparcialidad, garantizando autonomía respecto de la parte interesada en la certificación.</w:t>
      </w:r>
    </w:p>
    <w:p w14:paraId="167BFA82" w14:textId="77777777" w:rsidR="00A547FD" w:rsidRDefault="00A547FD" w:rsidP="00A547F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6C1C395D" w14:textId="77777777" w:rsidR="00A547FD" w:rsidRDefault="00A547FD" w:rsidP="00A547FD">
      <w:pPr>
        <w:spacing w:line="276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En este sentido:</w:t>
      </w:r>
    </w:p>
    <w:p w14:paraId="2FB99201" w14:textId="77777777" w:rsidR="00A547FD" w:rsidRDefault="00A547FD" w:rsidP="00A547F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2962BBBA" w14:textId="77777777" w:rsidR="00A547FD" w:rsidRPr="00A547FD" w:rsidRDefault="00A547FD" w:rsidP="00A547F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ourier New" w:eastAsiaTheme="majorEastAsia" w:hAnsi="Courier New" w:cs="Courier New"/>
          <w:bCs/>
          <w:lang w:val="es-CL"/>
        </w:rPr>
      </w:pPr>
      <w:r w:rsidRPr="00A547FD">
        <w:rPr>
          <w:rFonts w:ascii="Courier New" w:eastAsiaTheme="majorEastAsia" w:hAnsi="Courier New" w:cs="Courier New"/>
          <w:bCs/>
          <w:lang w:val="es-CL"/>
        </w:rPr>
        <w:t>La entidad verificadora no podrá mantener vínculo contractual alguno ni percibir remuneración de parte de organismos a los cuales el titular de la certificación haya encomendado la elaboración de la declaración de gases de efecto invernadero o de uso del agua.</w:t>
      </w:r>
    </w:p>
    <w:p w14:paraId="1089C10A" w14:textId="77777777" w:rsidR="00A547FD" w:rsidRPr="00A547FD" w:rsidRDefault="00A547FD" w:rsidP="00A547F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ourier New" w:eastAsiaTheme="majorEastAsia" w:hAnsi="Courier New" w:cs="Courier New"/>
          <w:bCs/>
          <w:lang w:val="es-CL"/>
        </w:rPr>
      </w:pPr>
      <w:r w:rsidRPr="00A547FD">
        <w:rPr>
          <w:rFonts w:ascii="Courier New" w:eastAsiaTheme="majorEastAsia" w:hAnsi="Courier New" w:cs="Courier New"/>
          <w:bCs/>
          <w:lang w:val="es-CL"/>
        </w:rPr>
        <w:t>Ningún miembro de la entidad de verificación podrá participar en la elaboración de las declaraciones de GEI, proyectos de mitigación, huella de agua o eficiencia de recursos hídricos que estén sujetos a verificación.</w:t>
      </w:r>
    </w:p>
    <w:p w14:paraId="70088B07" w14:textId="77777777" w:rsidR="00A547FD" w:rsidRDefault="00A547FD" w:rsidP="00A547F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ourier New" w:eastAsiaTheme="majorEastAsia" w:hAnsi="Courier New" w:cs="Courier New"/>
          <w:bCs/>
          <w:lang w:val="es-CL"/>
        </w:rPr>
      </w:pPr>
      <w:r w:rsidRPr="00A547FD">
        <w:rPr>
          <w:rFonts w:ascii="Courier New" w:eastAsiaTheme="majorEastAsia" w:hAnsi="Courier New" w:cs="Courier New"/>
          <w:bCs/>
          <w:lang w:val="es-CL"/>
        </w:rPr>
        <w:t xml:space="preserve">Los socios, representantes legales, miembros del equipo y líder de verificación de la entidad estarán sujetos a las siguientes inhabilidades respecto de la persona natural o jurídica que contrata los servicios: </w:t>
      </w:r>
    </w:p>
    <w:p w14:paraId="4E8FDFCD" w14:textId="77777777" w:rsidR="00A547FD" w:rsidRDefault="00A547FD" w:rsidP="00A547FD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Courier New" w:eastAsiaTheme="majorEastAsia" w:hAnsi="Courier New" w:cs="Courier New"/>
          <w:bCs/>
          <w:lang w:val="es-CL"/>
        </w:rPr>
      </w:pPr>
      <w:r w:rsidRPr="00A547FD">
        <w:rPr>
          <w:rFonts w:ascii="Courier New" w:eastAsiaTheme="majorEastAsia" w:hAnsi="Courier New" w:cs="Courier New"/>
          <w:b/>
          <w:bCs/>
          <w:lang w:val="es-CL"/>
        </w:rPr>
        <w:t>Inhabilidad mercantil</w:t>
      </w:r>
      <w:r w:rsidRPr="00A547FD">
        <w:rPr>
          <w:rFonts w:ascii="Courier New" w:eastAsiaTheme="majorEastAsia" w:hAnsi="Courier New" w:cs="Courier New"/>
          <w:bCs/>
          <w:lang w:val="es-CL"/>
        </w:rPr>
        <w:t xml:space="preserve">: Ocurre cuando la entidad y la persona jurídica contratante pertenecen al mismo grupo empresarial, según lo establecido en el título XV de la Ley </w:t>
      </w:r>
      <w:proofErr w:type="spellStart"/>
      <w:r w:rsidRPr="00A547FD">
        <w:rPr>
          <w:rFonts w:ascii="Courier New" w:eastAsiaTheme="majorEastAsia" w:hAnsi="Courier New" w:cs="Courier New"/>
          <w:bCs/>
          <w:lang w:val="es-CL"/>
        </w:rPr>
        <w:t>N°</w:t>
      </w:r>
      <w:proofErr w:type="spellEnd"/>
      <w:r w:rsidRPr="00A547FD">
        <w:rPr>
          <w:rFonts w:ascii="Courier New" w:eastAsiaTheme="majorEastAsia" w:hAnsi="Courier New" w:cs="Courier New"/>
          <w:bCs/>
          <w:lang w:val="es-CL"/>
        </w:rPr>
        <w:t xml:space="preserve"> 18.045, de mercado de valores, o la que la reemplace.</w:t>
      </w:r>
    </w:p>
    <w:p w14:paraId="455F0025" w14:textId="77777777" w:rsidR="00A547FD" w:rsidRDefault="00A547FD" w:rsidP="00A547FD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Courier New" w:eastAsiaTheme="majorEastAsia" w:hAnsi="Courier New" w:cs="Courier New"/>
          <w:bCs/>
          <w:lang w:val="es-CL"/>
        </w:rPr>
      </w:pPr>
      <w:r w:rsidRPr="00A547FD">
        <w:rPr>
          <w:rFonts w:ascii="Courier New" w:eastAsiaTheme="majorEastAsia" w:hAnsi="Courier New" w:cs="Courier New"/>
          <w:b/>
          <w:bCs/>
          <w:lang w:val="es-CL"/>
        </w:rPr>
        <w:t>Inhabilidad laboral</w:t>
      </w:r>
      <w:r w:rsidRPr="00A547FD">
        <w:rPr>
          <w:rFonts w:ascii="Courier New" w:eastAsiaTheme="majorEastAsia" w:hAnsi="Courier New" w:cs="Courier New"/>
          <w:bCs/>
          <w:lang w:val="es-CL"/>
        </w:rPr>
        <w:t>: Aplica cuando, en los últimos dos años, algún socio, representante legal, miembro de verificación o líder de verificación de la entidad de verificación ha tenido un vínculo de subordinación o dependencia con la persona natural o jurídica contratante, regulado por el Código del Trabajo u otro marco normativo.</w:t>
      </w:r>
    </w:p>
    <w:p w14:paraId="58CFEDBE" w14:textId="723A65C4" w:rsidR="00A547FD" w:rsidRPr="00A547FD" w:rsidRDefault="00A547FD" w:rsidP="00A547FD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Courier New" w:eastAsiaTheme="majorEastAsia" w:hAnsi="Courier New" w:cs="Courier New"/>
          <w:bCs/>
          <w:lang w:val="es-CL"/>
        </w:rPr>
      </w:pPr>
      <w:r w:rsidRPr="00A547FD">
        <w:rPr>
          <w:rFonts w:ascii="Courier New" w:eastAsiaTheme="majorEastAsia" w:hAnsi="Courier New" w:cs="Courier New"/>
          <w:b/>
          <w:bCs/>
          <w:lang w:val="es-CL"/>
        </w:rPr>
        <w:t>Inhabilidad por parentesco:</w:t>
      </w:r>
      <w:r w:rsidRPr="00A547FD">
        <w:rPr>
          <w:rFonts w:ascii="Courier New" w:eastAsiaTheme="majorEastAsia" w:hAnsi="Courier New" w:cs="Courier New"/>
          <w:bCs/>
          <w:lang w:val="es-CL"/>
        </w:rPr>
        <w:t xml:space="preserve"> Se configura cuando existe relación de cónyuge o parentesco hasta el segundo grado de consanguinidad o afinidad entre los socios, representantes legales, miembros del equipo de verificación o responsable técnico de la entidad de verificación y los socios o representantes legales de la </w:t>
      </w:r>
      <w:r w:rsidRPr="00A547FD">
        <w:rPr>
          <w:rFonts w:ascii="Courier New" w:eastAsiaTheme="majorEastAsia" w:hAnsi="Courier New" w:cs="Courier New"/>
          <w:bCs/>
          <w:lang w:val="es-CL"/>
        </w:rPr>
        <w:lastRenderedPageBreak/>
        <w:t>persona natural o jurídica contratante. Esta inhabilidad también se extiende a quienes han suscrito un acuerdo de unión civil.</w:t>
      </w:r>
    </w:p>
    <w:p w14:paraId="3BE06C9D" w14:textId="77777777" w:rsidR="00A547FD" w:rsidRPr="00470FAD" w:rsidRDefault="00A547FD" w:rsidP="00A547FD">
      <w:pPr>
        <w:spacing w:line="276" w:lineRule="auto"/>
        <w:rPr>
          <w:lang w:val="es-CL"/>
        </w:rPr>
      </w:pPr>
    </w:p>
    <w:p w14:paraId="2BB38DAA" w14:textId="77777777" w:rsidR="00A547FD" w:rsidRPr="004A216B" w:rsidRDefault="00A547FD" w:rsidP="00A547FD">
      <w:pPr>
        <w:spacing w:line="276" w:lineRule="auto"/>
        <w:jc w:val="both"/>
        <w:rPr>
          <w:rFonts w:ascii="Courier New" w:hAnsi="Courier New" w:cs="Courier New"/>
        </w:rPr>
      </w:pPr>
      <w:r w:rsidRPr="418876C6">
        <w:rPr>
          <w:rFonts w:ascii="Courier New" w:hAnsi="Courier New" w:cs="Courier New"/>
        </w:rPr>
        <w:t>El ejercicio de actividades concurriendo alguna de estas inhabilidades compromete la imparcialidad y objetividad del proceso de verificación, facultando al Ministerio para desestimar los resultados sin mayor trámite.</w:t>
      </w:r>
    </w:p>
    <w:p w14:paraId="224E894D" w14:textId="77777777" w:rsidR="00A547FD" w:rsidRDefault="00A547FD" w:rsidP="00A547FD">
      <w:pPr>
        <w:spacing w:line="276" w:lineRule="auto"/>
        <w:jc w:val="both"/>
        <w:rPr>
          <w:rFonts w:asciiTheme="minorHAnsi" w:hAnsiTheme="minorHAnsi" w:cstheme="minorHAnsi"/>
          <w:bCs/>
          <w:lang w:val="es-CL"/>
        </w:rPr>
      </w:pPr>
    </w:p>
    <w:p w14:paraId="755E7F7A" w14:textId="77777777" w:rsidR="00A547FD" w:rsidRDefault="00A547FD" w:rsidP="00A547FD">
      <w:pPr>
        <w:spacing w:line="276" w:lineRule="auto"/>
        <w:jc w:val="both"/>
        <w:rPr>
          <w:rFonts w:asciiTheme="minorHAnsi" w:hAnsiTheme="minorHAnsi" w:cstheme="minorHAnsi"/>
          <w:bCs/>
          <w:lang w:val="es-CL"/>
        </w:rPr>
      </w:pPr>
    </w:p>
    <w:p w14:paraId="44E97399" w14:textId="77777777" w:rsidR="00A547FD" w:rsidRPr="00933EF5" w:rsidRDefault="00A547FD" w:rsidP="00A547FD">
      <w:pPr>
        <w:spacing w:line="276" w:lineRule="auto"/>
        <w:jc w:val="both"/>
        <w:rPr>
          <w:rFonts w:asciiTheme="minorHAnsi" w:hAnsiTheme="minorHAnsi" w:cstheme="minorHAnsi"/>
          <w:bCs/>
          <w:lang w:val="es-CL"/>
        </w:rPr>
      </w:pPr>
    </w:p>
    <w:p w14:paraId="39F620F2" w14:textId="77777777" w:rsidR="00A547FD" w:rsidRPr="00933EF5" w:rsidRDefault="00A547FD" w:rsidP="00A547FD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25AB2D1" w14:textId="77777777" w:rsidR="00A547FD" w:rsidRPr="00933EF5" w:rsidRDefault="00A547FD" w:rsidP="00A547FD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C8AB9AA" w14:textId="77777777" w:rsidR="00A547FD" w:rsidRPr="004A216B" w:rsidRDefault="00A547FD" w:rsidP="00A547FD">
      <w:pPr>
        <w:widowControl/>
        <w:autoSpaceDE/>
        <w:autoSpaceDN/>
        <w:spacing w:line="276" w:lineRule="auto"/>
        <w:contextualSpacing/>
        <w:jc w:val="both"/>
        <w:rPr>
          <w:rFonts w:ascii="Courier New" w:eastAsia="Arial" w:hAnsi="Courier New" w:cs="Courier New"/>
          <w:b/>
          <w:bCs/>
        </w:rPr>
      </w:pPr>
    </w:p>
    <w:p w14:paraId="5101A25F" w14:textId="77777777" w:rsidR="00A547FD" w:rsidRPr="00933EF5" w:rsidRDefault="00A547FD" w:rsidP="00A547FD">
      <w:pPr>
        <w:spacing w:line="276" w:lineRule="auto"/>
        <w:jc w:val="center"/>
        <w:rPr>
          <w:rFonts w:ascii="Courier New" w:eastAsia="Arial" w:hAnsi="Courier New" w:cs="Courier New"/>
          <w:bCs/>
          <w:lang w:val="es-CL"/>
        </w:rPr>
      </w:pPr>
      <w:r w:rsidRPr="00933EF5">
        <w:rPr>
          <w:rFonts w:ascii="Courier New" w:eastAsia="Arial" w:hAnsi="Courier New" w:cs="Courier New"/>
          <w:bCs/>
          <w:lang w:val="es-CL"/>
        </w:rPr>
        <w:t>_______________________________________</w:t>
      </w:r>
    </w:p>
    <w:p w14:paraId="5FFD5D43" w14:textId="46BEFAC4" w:rsidR="00F14EF5" w:rsidRDefault="00A547FD" w:rsidP="00A547FD">
      <w:pPr>
        <w:jc w:val="center"/>
      </w:pPr>
      <w:r w:rsidRPr="00933EF5">
        <w:rPr>
          <w:rFonts w:ascii="Courier New" w:eastAsia="Arial" w:hAnsi="Courier New" w:cs="Courier New"/>
          <w:bCs/>
          <w:lang w:val="es-CL"/>
        </w:rPr>
        <w:t>Firma representante lega</w:t>
      </w:r>
      <w:r>
        <w:rPr>
          <w:rFonts w:ascii="Courier New" w:eastAsia="Arial" w:hAnsi="Courier New" w:cs="Courier New"/>
          <w:lang w:val="es-CL"/>
        </w:rPr>
        <w:t>l</w:t>
      </w:r>
    </w:p>
    <w:sectPr w:rsidR="00F14E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A83"/>
    <w:multiLevelType w:val="hybridMultilevel"/>
    <w:tmpl w:val="028611F8"/>
    <w:lvl w:ilvl="0" w:tplc="340A001B">
      <w:start w:val="1"/>
      <w:numFmt w:val="lowerRoman"/>
      <w:lvlText w:val="%1."/>
      <w:lvlJc w:val="right"/>
      <w:pPr>
        <w:ind w:left="821" w:hanging="360"/>
      </w:pPr>
      <w:rPr>
        <w:rFonts w:hint="default"/>
        <w:spacing w:val="0"/>
        <w:w w:val="99"/>
        <w:sz w:val="22"/>
        <w:szCs w:val="22"/>
        <w:lang w:val="es-ES" w:eastAsia="en-US" w:bidi="ar-SA"/>
      </w:rPr>
    </w:lvl>
    <w:lvl w:ilvl="1" w:tplc="340A001B">
      <w:start w:val="1"/>
      <w:numFmt w:val="lowerRoman"/>
      <w:lvlText w:val="%2."/>
      <w:lvlJc w:val="right"/>
      <w:pPr>
        <w:ind w:left="1541" w:hanging="361"/>
      </w:pPr>
      <w:rPr>
        <w:rFonts w:hint="default"/>
        <w:w w:val="100"/>
        <w:sz w:val="22"/>
        <w:szCs w:val="22"/>
        <w:lang w:val="es-ES" w:eastAsia="en-US" w:bidi="ar-SA"/>
      </w:rPr>
    </w:lvl>
    <w:lvl w:ilvl="2" w:tplc="B8A07C20">
      <w:numFmt w:val="bullet"/>
      <w:lvlText w:val="•"/>
      <w:lvlJc w:val="left"/>
      <w:pPr>
        <w:ind w:left="2377" w:hanging="361"/>
      </w:pPr>
      <w:rPr>
        <w:rFonts w:hint="default"/>
        <w:lang w:val="es-ES" w:eastAsia="en-US" w:bidi="ar-SA"/>
      </w:rPr>
    </w:lvl>
    <w:lvl w:ilvl="3" w:tplc="6374AF5E">
      <w:numFmt w:val="bullet"/>
      <w:lvlText w:val="•"/>
      <w:lvlJc w:val="left"/>
      <w:pPr>
        <w:ind w:left="3215" w:hanging="361"/>
      </w:pPr>
      <w:rPr>
        <w:rFonts w:hint="default"/>
        <w:lang w:val="es-ES" w:eastAsia="en-US" w:bidi="ar-SA"/>
      </w:rPr>
    </w:lvl>
    <w:lvl w:ilvl="4" w:tplc="55A8A670">
      <w:numFmt w:val="bullet"/>
      <w:lvlText w:val="•"/>
      <w:lvlJc w:val="left"/>
      <w:pPr>
        <w:ind w:left="4053" w:hanging="361"/>
      </w:pPr>
      <w:rPr>
        <w:rFonts w:hint="default"/>
        <w:lang w:val="es-ES" w:eastAsia="en-US" w:bidi="ar-SA"/>
      </w:rPr>
    </w:lvl>
    <w:lvl w:ilvl="5" w:tplc="96EC67D6">
      <w:numFmt w:val="bullet"/>
      <w:lvlText w:val="•"/>
      <w:lvlJc w:val="left"/>
      <w:pPr>
        <w:ind w:left="4891" w:hanging="361"/>
      </w:pPr>
      <w:rPr>
        <w:rFonts w:hint="default"/>
        <w:lang w:val="es-ES" w:eastAsia="en-US" w:bidi="ar-SA"/>
      </w:rPr>
    </w:lvl>
    <w:lvl w:ilvl="6" w:tplc="0F90821E">
      <w:numFmt w:val="bullet"/>
      <w:lvlText w:val="•"/>
      <w:lvlJc w:val="left"/>
      <w:pPr>
        <w:ind w:left="5728" w:hanging="361"/>
      </w:pPr>
      <w:rPr>
        <w:rFonts w:hint="default"/>
        <w:lang w:val="es-ES" w:eastAsia="en-US" w:bidi="ar-SA"/>
      </w:rPr>
    </w:lvl>
    <w:lvl w:ilvl="7" w:tplc="4B6E3E38">
      <w:numFmt w:val="bullet"/>
      <w:lvlText w:val="•"/>
      <w:lvlJc w:val="left"/>
      <w:pPr>
        <w:ind w:left="6566" w:hanging="361"/>
      </w:pPr>
      <w:rPr>
        <w:rFonts w:hint="default"/>
        <w:lang w:val="es-ES" w:eastAsia="en-US" w:bidi="ar-SA"/>
      </w:rPr>
    </w:lvl>
    <w:lvl w:ilvl="8" w:tplc="50821F72">
      <w:numFmt w:val="bullet"/>
      <w:lvlText w:val="•"/>
      <w:lvlJc w:val="left"/>
      <w:pPr>
        <w:ind w:left="740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DBE69A2"/>
    <w:multiLevelType w:val="hybridMultilevel"/>
    <w:tmpl w:val="543043F8"/>
    <w:lvl w:ilvl="0" w:tplc="340A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spacing w:val="0"/>
        <w:w w:val="99"/>
        <w:sz w:val="22"/>
        <w:szCs w:val="22"/>
        <w:lang w:val="es-ES" w:eastAsia="en-US" w:bidi="ar-SA"/>
      </w:rPr>
    </w:lvl>
    <w:lvl w:ilvl="1" w:tplc="340A001B">
      <w:start w:val="1"/>
      <w:numFmt w:val="lowerRoman"/>
      <w:lvlText w:val="%2."/>
      <w:lvlJc w:val="right"/>
      <w:pPr>
        <w:ind w:left="2261" w:hanging="361"/>
      </w:pPr>
      <w:rPr>
        <w:rFonts w:hint="default"/>
        <w:w w:val="100"/>
        <w:sz w:val="22"/>
        <w:szCs w:val="22"/>
        <w:lang w:val="es-ES" w:eastAsia="en-US" w:bidi="ar-SA"/>
      </w:rPr>
    </w:lvl>
    <w:lvl w:ilvl="2" w:tplc="B8A07C20">
      <w:numFmt w:val="bullet"/>
      <w:lvlText w:val="•"/>
      <w:lvlJc w:val="left"/>
      <w:pPr>
        <w:ind w:left="3097" w:hanging="361"/>
      </w:pPr>
      <w:rPr>
        <w:rFonts w:hint="default"/>
        <w:lang w:val="es-ES" w:eastAsia="en-US" w:bidi="ar-SA"/>
      </w:rPr>
    </w:lvl>
    <w:lvl w:ilvl="3" w:tplc="6374AF5E">
      <w:numFmt w:val="bullet"/>
      <w:lvlText w:val="•"/>
      <w:lvlJc w:val="left"/>
      <w:pPr>
        <w:ind w:left="3935" w:hanging="361"/>
      </w:pPr>
      <w:rPr>
        <w:rFonts w:hint="default"/>
        <w:lang w:val="es-ES" w:eastAsia="en-US" w:bidi="ar-SA"/>
      </w:rPr>
    </w:lvl>
    <w:lvl w:ilvl="4" w:tplc="55A8A670">
      <w:numFmt w:val="bullet"/>
      <w:lvlText w:val="•"/>
      <w:lvlJc w:val="left"/>
      <w:pPr>
        <w:ind w:left="4773" w:hanging="361"/>
      </w:pPr>
      <w:rPr>
        <w:rFonts w:hint="default"/>
        <w:lang w:val="es-ES" w:eastAsia="en-US" w:bidi="ar-SA"/>
      </w:rPr>
    </w:lvl>
    <w:lvl w:ilvl="5" w:tplc="96EC67D6">
      <w:numFmt w:val="bullet"/>
      <w:lvlText w:val="•"/>
      <w:lvlJc w:val="left"/>
      <w:pPr>
        <w:ind w:left="5611" w:hanging="361"/>
      </w:pPr>
      <w:rPr>
        <w:rFonts w:hint="default"/>
        <w:lang w:val="es-ES" w:eastAsia="en-US" w:bidi="ar-SA"/>
      </w:rPr>
    </w:lvl>
    <w:lvl w:ilvl="6" w:tplc="0F90821E">
      <w:numFmt w:val="bullet"/>
      <w:lvlText w:val="•"/>
      <w:lvlJc w:val="left"/>
      <w:pPr>
        <w:ind w:left="6448" w:hanging="361"/>
      </w:pPr>
      <w:rPr>
        <w:rFonts w:hint="default"/>
        <w:lang w:val="es-ES" w:eastAsia="en-US" w:bidi="ar-SA"/>
      </w:rPr>
    </w:lvl>
    <w:lvl w:ilvl="7" w:tplc="4B6E3E38">
      <w:numFmt w:val="bullet"/>
      <w:lvlText w:val="•"/>
      <w:lvlJc w:val="left"/>
      <w:pPr>
        <w:ind w:left="7286" w:hanging="361"/>
      </w:pPr>
      <w:rPr>
        <w:rFonts w:hint="default"/>
        <w:lang w:val="es-ES" w:eastAsia="en-US" w:bidi="ar-SA"/>
      </w:rPr>
    </w:lvl>
    <w:lvl w:ilvl="8" w:tplc="50821F72">
      <w:numFmt w:val="bullet"/>
      <w:lvlText w:val="•"/>
      <w:lvlJc w:val="left"/>
      <w:pPr>
        <w:ind w:left="812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C51290D"/>
    <w:multiLevelType w:val="hybridMultilevel"/>
    <w:tmpl w:val="3780B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F"/>
    <w:rsid w:val="00337BF2"/>
    <w:rsid w:val="003F2F36"/>
    <w:rsid w:val="005D1CDF"/>
    <w:rsid w:val="00634243"/>
    <w:rsid w:val="00811698"/>
    <w:rsid w:val="009912A2"/>
    <w:rsid w:val="00A547FD"/>
    <w:rsid w:val="00A57385"/>
    <w:rsid w:val="00A848E9"/>
    <w:rsid w:val="00F14EF5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C0B"/>
  <w15:chartTrackingRefBased/>
  <w15:docId w15:val="{18475693-68B2-44C2-9E60-B4E184C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C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D1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A547FD"/>
    <w:pPr>
      <w:spacing w:line="268" w:lineRule="exact"/>
      <w:ind w:left="1946" w:hanging="286"/>
    </w:pPr>
  </w:style>
  <w:style w:type="character" w:customStyle="1" w:styleId="PrrafodelistaCar">
    <w:name w:val="Párrafo de lista Car"/>
    <w:aliases w:val="Heading 2_sj Car"/>
    <w:link w:val="Prrafodelista"/>
    <w:uiPriority w:val="34"/>
    <w:locked/>
    <w:rsid w:val="00A547F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Huella Chile</dc:creator>
  <cp:keywords/>
  <dc:description/>
  <cp:lastModifiedBy>Huella Chile</cp:lastModifiedBy>
  <cp:revision>3</cp:revision>
  <dcterms:created xsi:type="dcterms:W3CDTF">2025-09-29T17:41:00Z</dcterms:created>
  <dcterms:modified xsi:type="dcterms:W3CDTF">2025-09-29T17:46:00Z</dcterms:modified>
</cp:coreProperties>
</file>